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0" w:rsidRPr="00D66E64" w:rsidRDefault="005D2340" w:rsidP="005D2340">
      <w:pPr>
        <w:suppressAutoHyphens w:val="0"/>
        <w:spacing w:before="0" w:line="240" w:lineRule="auto"/>
        <w:rPr>
          <w:rFonts w:eastAsiaTheme="minorEastAsia" w:cs="Arial"/>
          <w:b/>
        </w:rPr>
      </w:pPr>
      <w:r w:rsidRPr="00D66E64">
        <w:rPr>
          <w:rFonts w:eastAsiaTheme="minorEastAsia" w:cs="Arial"/>
          <w:b/>
        </w:rPr>
        <w:t>Expenses of Governors and Directors</w:t>
      </w:r>
    </w:p>
    <w:p w:rsidR="005D2340" w:rsidRPr="00D66E64" w:rsidRDefault="005D2340" w:rsidP="005D2340">
      <w:pPr>
        <w:spacing w:line="240" w:lineRule="auto"/>
        <w:jc w:val="both"/>
        <w:rPr>
          <w:rFonts w:eastAsiaTheme="minorEastAsia" w:cs="Arial"/>
        </w:rPr>
      </w:pPr>
      <w:r w:rsidRPr="00D66E64">
        <w:rPr>
          <w:rFonts w:eastAsiaTheme="minorEastAsia" w:cs="Arial"/>
        </w:rPr>
        <w:t>The directors and governors receive reimbursement of travel and incidental expenses incurred as a result of their duties to the Trust.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33"/>
        <w:gridCol w:w="25"/>
        <w:gridCol w:w="998"/>
      </w:tblGrid>
      <w:tr w:rsidR="007957DF" w:rsidRPr="00F53E41" w:rsidTr="00E5586C">
        <w:trPr>
          <w:trHeight w:val="979"/>
        </w:trPr>
        <w:tc>
          <w:tcPr>
            <w:tcW w:w="6858" w:type="dxa"/>
            <w:gridSpan w:val="2"/>
            <w:tcBorders>
              <w:top w:val="single" w:sz="8" w:space="0" w:color="34B2AC"/>
              <w:left w:val="single" w:sz="8" w:space="0" w:color="34B2AC"/>
              <w:bottom w:val="single" w:sz="8" w:space="0" w:color="34B2AC"/>
              <w:right w:val="single" w:sz="8" w:space="0" w:color="34B2AC"/>
            </w:tcBorders>
            <w:shd w:val="clear" w:color="auto" w:fill="34B2AC"/>
            <w:noWrap/>
            <w:hideMark/>
          </w:tcPr>
          <w:p w:rsidR="007957DF" w:rsidRDefault="007957DF" w:rsidP="000A7EB1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Aggregate sum of expenses paid </w:t>
            </w:r>
          </w:p>
          <w:p w:rsidR="007957DF" w:rsidRPr="00F53E41" w:rsidRDefault="007957DF" w:rsidP="00A40665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Quarter </w:t>
            </w:r>
            <w:r w:rsidR="00A40665">
              <w:rPr>
                <w:color w:val="FFFFFF" w:themeColor="background1"/>
                <w:sz w:val="22"/>
                <w:szCs w:val="22"/>
                <w:lang w:eastAsia="en-GB"/>
              </w:rPr>
              <w:t>1 2019/20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 xml:space="preserve"> (</w:t>
            </w:r>
            <w:r w:rsidR="00A40665">
              <w:rPr>
                <w:color w:val="FFFFFF" w:themeColor="background1"/>
                <w:sz w:val="22"/>
                <w:szCs w:val="22"/>
                <w:lang w:eastAsia="en-GB"/>
              </w:rPr>
              <w:t>01 Apr 2019 – 31 Jul 2019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98" w:type="dxa"/>
            <w:tcBorders>
              <w:top w:val="single" w:sz="8" w:space="0" w:color="34B2AC"/>
              <w:left w:val="single" w:sz="8" w:space="0" w:color="34B2AC"/>
              <w:bottom w:val="single" w:sz="8" w:space="0" w:color="34B2AC"/>
              <w:right w:val="single" w:sz="8" w:space="0" w:color="34B2AC"/>
            </w:tcBorders>
            <w:shd w:val="clear" w:color="auto" w:fill="34B2AC"/>
          </w:tcPr>
          <w:p w:rsidR="007957DF" w:rsidRPr="000A7EB1" w:rsidRDefault="007957DF" w:rsidP="000A7EB1">
            <w:pPr>
              <w:jc w:val="center"/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0A7EB1">
              <w:rPr>
                <w:color w:val="FFFFFF" w:themeColor="background1"/>
                <w:sz w:val="22"/>
                <w:szCs w:val="22"/>
                <w:lang w:eastAsia="en-GB"/>
              </w:rPr>
              <w:t>£</w:t>
            </w:r>
          </w:p>
        </w:tc>
      </w:tr>
      <w:tr w:rsidR="005D2340" w:rsidRPr="00F53E41" w:rsidTr="00E5586C">
        <w:trPr>
          <w:trHeight w:val="290"/>
        </w:trPr>
        <w:tc>
          <w:tcPr>
            <w:tcW w:w="6833" w:type="dxa"/>
            <w:tcBorders>
              <w:top w:val="single" w:sz="8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:rsidR="005D2340" w:rsidRPr="00F53E41" w:rsidRDefault="005D2340" w:rsidP="005D2340">
            <w:pPr>
              <w:rPr>
                <w:sz w:val="22"/>
                <w:szCs w:val="22"/>
                <w:lang w:eastAsia="en-GB"/>
              </w:rPr>
            </w:pP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Stephen Clark, Chairman</w:t>
            </w:r>
          </w:p>
        </w:tc>
        <w:tc>
          <w:tcPr>
            <w:tcW w:w="1023" w:type="dxa"/>
            <w:gridSpan w:val="2"/>
            <w:tcBorders>
              <w:top w:val="single" w:sz="8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A40665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2710.77</w:t>
            </w:r>
          </w:p>
        </w:tc>
      </w:tr>
      <w:tr w:rsidR="005E4A5E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5E4A5E" w:rsidP="0067195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Jonathan Billings, Non-Executive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F90B03" w:rsidP="00671958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5E4A5E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5E4A5E" w:rsidP="0067195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Ewan Carmichael, Non-Executive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A40665" w:rsidP="00671958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430.18</w:t>
            </w:r>
          </w:p>
        </w:tc>
      </w:tr>
      <w:tr w:rsidR="005E4A5E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5E4A5E" w:rsidP="0067195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Joanne Palmer, </w:t>
            </w: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Non-Executive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E4A5E" w:rsidRPr="00F53E41" w:rsidRDefault="00A40665" w:rsidP="00671958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1640.70</w:t>
            </w:r>
          </w:p>
        </w:tc>
      </w:tr>
      <w:tr w:rsidR="005D2340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5D2340" w:rsidP="005D234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Mark </w:t>
            </w:r>
            <w:proofErr w:type="spellStart"/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Spragg</w:t>
            </w:r>
            <w:proofErr w:type="spellEnd"/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, Non-Executive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A40665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260.25</w:t>
            </w:r>
          </w:p>
        </w:tc>
      </w:tr>
      <w:tr w:rsidR="005D2340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Default="005D2340" w:rsidP="005D234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Adrian Ward, Non-Executive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Default="00A40665" w:rsidP="005D2340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Nil</w:t>
            </w:r>
          </w:p>
        </w:tc>
      </w:tr>
      <w:tr w:rsidR="005D2340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5D2340" w:rsidP="000A7EB1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>James Devine, Chief Executive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A40665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580.90</w:t>
            </w:r>
          </w:p>
        </w:tc>
      </w:tr>
      <w:tr w:rsidR="007957DF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Default="007957DF" w:rsidP="008775B1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David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Sulch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, Medical Director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7957DF" w:rsidRDefault="00E8595C" w:rsidP="008775B1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7957DF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F53E41" w:rsidRDefault="007957DF" w:rsidP="007957D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Karen Rule, Director of Nursing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7957DF" w:rsidRDefault="00E8595C" w:rsidP="008775B1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7957DF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Default="007957DF" w:rsidP="00E8595C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Leon Hinton, </w:t>
            </w:r>
            <w:r w:rsidRPr="000A7EB1">
              <w:rPr>
                <w:rFonts w:cs="Arial"/>
                <w:color w:val="000000"/>
                <w:sz w:val="22"/>
                <w:szCs w:val="22"/>
                <w:lang w:eastAsia="en-GB"/>
              </w:rPr>
              <w:t>Executive Director of HR&amp;OD</w:t>
            </w:r>
            <w:r w:rsidR="00E8595C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7957DF" w:rsidRDefault="00A40665" w:rsidP="008775B1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383.11</w:t>
            </w:r>
          </w:p>
        </w:tc>
      </w:tr>
      <w:tr w:rsidR="007957DF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Default="007957DF" w:rsidP="005D234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Glynis Alexander, Director of Communications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F53E41" w:rsidRDefault="00E8595C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5D2340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0A7EB1" w:rsidP="0045599A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Ian O’Connor</w:t>
            </w:r>
            <w:r w:rsidR="005D2340" w:rsidRPr="00F53E41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0A7EB1">
              <w:rPr>
                <w:rFonts w:cs="Arial"/>
                <w:color w:val="000000"/>
                <w:sz w:val="22"/>
                <w:szCs w:val="22"/>
                <w:lang w:eastAsia="en-GB"/>
              </w:rPr>
              <w:t>Director of Finance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5D2340" w:rsidRPr="00F53E41" w:rsidRDefault="00A40665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2696.00</w:t>
            </w:r>
          </w:p>
        </w:tc>
      </w:tr>
      <w:tr w:rsidR="007957DF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Default="007957DF" w:rsidP="005D234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Gary Lupton, Director of Estates and Facilities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7957DF" w:rsidRPr="000A7EB1" w:rsidRDefault="00E8595C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0A7EB1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Default="00E5586C" w:rsidP="005D2340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Jack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Tabner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E5586C">
              <w:rPr>
                <w:rFonts w:cs="Arial"/>
                <w:color w:val="000000"/>
                <w:sz w:val="22"/>
                <w:szCs w:val="22"/>
                <w:lang w:eastAsia="en-GB"/>
              </w:rPr>
              <w:t>Executive Director of Transformation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Pr="00F53E41" w:rsidRDefault="00E5586C" w:rsidP="005D2340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Nil</w:t>
            </w:r>
          </w:p>
        </w:tc>
      </w:tr>
      <w:tr w:rsidR="000A7EB1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Default="000A7EB1" w:rsidP="000A7EB1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Gurjit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Mahil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45599A" w:rsidRPr="0045599A">
              <w:rPr>
                <w:rFonts w:cs="Arial"/>
                <w:color w:val="000000"/>
                <w:sz w:val="22"/>
                <w:szCs w:val="22"/>
                <w:lang w:eastAsia="en-GB"/>
              </w:rPr>
              <w:t>Deputy Chief Executive</w:t>
            </w:r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Default="00A40665" w:rsidP="00671958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51.70</w:t>
            </w:r>
          </w:p>
        </w:tc>
      </w:tr>
      <w:tr w:rsidR="000A7EB1" w:rsidRPr="00F53E41" w:rsidTr="00E5586C">
        <w:trPr>
          <w:trHeight w:val="305"/>
        </w:trPr>
        <w:tc>
          <w:tcPr>
            <w:tcW w:w="6833" w:type="dxa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Default="000A7EB1" w:rsidP="000A7EB1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Harvey McEnroe, </w:t>
            </w:r>
            <w:r w:rsidRPr="000A7EB1">
              <w:rPr>
                <w:rFonts w:cs="Arial"/>
                <w:color w:val="000000"/>
                <w:sz w:val="22"/>
                <w:szCs w:val="22"/>
                <w:lang w:eastAsia="en-GB"/>
              </w:rPr>
              <w:t>Chief Operating Office</w:t>
            </w:r>
            <w:r w:rsidR="008B34EF">
              <w:rPr>
                <w:rFonts w:cs="Arial"/>
                <w:color w:val="000000"/>
                <w:sz w:val="22"/>
                <w:szCs w:val="22"/>
                <w:lang w:eastAsia="en-GB"/>
              </w:rPr>
              <w:t>r</w:t>
            </w:r>
            <w:bookmarkStart w:id="0" w:name="_GoBack"/>
            <w:bookmarkEnd w:id="0"/>
          </w:p>
        </w:tc>
        <w:tc>
          <w:tcPr>
            <w:tcW w:w="1023" w:type="dxa"/>
            <w:gridSpan w:val="2"/>
            <w:tcBorders>
              <w:top w:val="dotted" w:sz="4" w:space="0" w:color="34B2AC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:rsidR="000A7EB1" w:rsidRDefault="00E8595C" w:rsidP="00671958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Nil</w:t>
            </w:r>
          </w:p>
        </w:tc>
      </w:tr>
    </w:tbl>
    <w:p w:rsidR="00D8351B" w:rsidRDefault="00D8351B"/>
    <w:sectPr w:rsidR="00D8351B" w:rsidSect="005D2340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40" w:rsidRDefault="005D2340" w:rsidP="005D2340">
      <w:pPr>
        <w:spacing w:before="0" w:line="240" w:lineRule="auto"/>
      </w:pPr>
      <w:r>
        <w:separator/>
      </w:r>
    </w:p>
  </w:endnote>
  <w:endnote w:type="continuationSeparator" w:id="0">
    <w:p w:rsidR="005D2340" w:rsidRDefault="005D2340" w:rsidP="005D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40" w:rsidRDefault="005D2340" w:rsidP="005D2340">
      <w:pPr>
        <w:spacing w:before="0" w:line="240" w:lineRule="auto"/>
      </w:pPr>
      <w:r>
        <w:separator/>
      </w:r>
    </w:p>
  </w:footnote>
  <w:footnote w:type="continuationSeparator" w:id="0">
    <w:p w:rsidR="005D2340" w:rsidRDefault="005D2340" w:rsidP="005D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0" w:rsidRDefault="005D23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0B48F9" wp14:editId="2AFB70CB">
          <wp:simplePos x="0" y="0"/>
          <wp:positionH relativeFrom="column">
            <wp:posOffset>8795385</wp:posOffset>
          </wp:positionH>
          <wp:positionV relativeFrom="paragraph">
            <wp:posOffset>-443865</wp:posOffset>
          </wp:positionV>
          <wp:extent cx="1442789" cy="849818"/>
          <wp:effectExtent l="0" t="0" r="508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way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9" cy="84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340" w:rsidRDefault="005D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0"/>
    <w:rsid w:val="00070030"/>
    <w:rsid w:val="000A7EB1"/>
    <w:rsid w:val="001B2D34"/>
    <w:rsid w:val="002E3357"/>
    <w:rsid w:val="0045599A"/>
    <w:rsid w:val="00545532"/>
    <w:rsid w:val="005D2340"/>
    <w:rsid w:val="005E4A5E"/>
    <w:rsid w:val="007957DF"/>
    <w:rsid w:val="00830B6F"/>
    <w:rsid w:val="008B34EF"/>
    <w:rsid w:val="008D1F73"/>
    <w:rsid w:val="00A40665"/>
    <w:rsid w:val="00AD2835"/>
    <w:rsid w:val="00CA14EA"/>
    <w:rsid w:val="00CC4699"/>
    <w:rsid w:val="00D8351B"/>
    <w:rsid w:val="00E5586C"/>
    <w:rsid w:val="00E8595C"/>
    <w:rsid w:val="00F40784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40"/>
    <w:pPr>
      <w:suppressAutoHyphens/>
      <w:spacing w:before="120" w:after="0" w:line="300" w:lineRule="exact"/>
    </w:pPr>
    <w:rPr>
      <w:rFonts w:ascii="Arial" w:eastAsia="Calibri" w:hAnsi="Arial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0"/>
    <w:rPr>
      <w:rFonts w:ascii="Tahoma" w:eastAsia="Calibri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40"/>
    <w:pPr>
      <w:suppressAutoHyphens/>
      <w:spacing w:before="120" w:after="0" w:line="300" w:lineRule="exact"/>
    </w:pPr>
    <w:rPr>
      <w:rFonts w:ascii="Arial" w:eastAsia="Calibri" w:hAnsi="Arial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0"/>
    <w:rPr>
      <w:rFonts w:ascii="Tahoma" w:eastAsia="Calibri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</vt:lpstr>
    </vt:vector>
  </TitlesOfParts>
  <Company>Medway Foundation Trust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</dc:title>
  <dc:subject>Expenses of Governors and Directors</dc:subject>
  <dc:creator>Leon Hinton (Medway NHS Foundation Trust)</dc:creator>
  <cp:lastModifiedBy>James Kendall</cp:lastModifiedBy>
  <cp:revision>3</cp:revision>
  <dcterms:created xsi:type="dcterms:W3CDTF">2019-10-15T08:37:00Z</dcterms:created>
  <dcterms:modified xsi:type="dcterms:W3CDTF">2019-10-15T08:40:00Z</dcterms:modified>
</cp:coreProperties>
</file>